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36"/>
        <w:gridCol w:w="1523"/>
        <w:gridCol w:w="1523"/>
        <w:gridCol w:w="4950"/>
        <w:gridCol w:w="4644"/>
      </w:tblGrid>
      <w:tr w:rsidR="00932C2C" w:rsidRPr="000C0894" w:rsidTr="00F6354E">
        <w:trPr>
          <w:trHeight w:val="1701"/>
          <w:tblHeader/>
        </w:trPr>
        <w:tc>
          <w:tcPr>
            <w:tcW w:w="542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6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932C2C" w:rsidRPr="000C0894" w:rsidTr="00F6354E">
        <w:trPr>
          <w:trHeight w:val="1701"/>
        </w:trPr>
        <w:tc>
          <w:tcPr>
            <w:tcW w:w="542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7" w:type="pct"/>
            <w:vAlign w:val="center"/>
          </w:tcPr>
          <w:p w:rsidR="002158EA" w:rsidRPr="000C0894" w:rsidRDefault="00932C2C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2158EA" w:rsidRPr="000C0894" w:rsidRDefault="00311C48" w:rsidP="00615A7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Cláusula 20.1.1</w:t>
            </w:r>
          </w:p>
        </w:tc>
        <w:tc>
          <w:tcPr>
            <w:tcW w:w="1746" w:type="pct"/>
            <w:vAlign w:val="center"/>
          </w:tcPr>
          <w:p w:rsidR="002158EA" w:rsidRPr="000C0894" w:rsidRDefault="00311C48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311C48">
              <w:rPr>
                <w:rFonts w:cs="Arial"/>
                <w:color w:val="000000" w:themeColor="text1"/>
                <w:szCs w:val="24"/>
              </w:rPr>
              <w:t>Na Fase de Exploração para Blocos em Terra</w:t>
            </w:r>
            <w:r>
              <w:rPr>
                <w:rFonts w:cs="Arial"/>
                <w:color w:val="000000" w:themeColor="text1"/>
                <w:szCs w:val="24"/>
              </w:rPr>
              <w:t>: Conteúdo Local global de 50%, sendo metade em bens e metade em serviços.</w:t>
            </w:r>
          </w:p>
        </w:tc>
        <w:tc>
          <w:tcPr>
            <w:tcW w:w="1638" w:type="pct"/>
            <w:vAlign w:val="center"/>
          </w:tcPr>
          <w:p w:rsidR="002158EA" w:rsidRPr="000C0894" w:rsidRDefault="007D5609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 medição pelo conteúdo local global sem a separação em bens e serviços excluirá totalmente o fornecimento de bens industriais, pois somente serviços garantem o percentual estabelecido.</w:t>
            </w:r>
          </w:p>
        </w:tc>
      </w:tr>
      <w:tr w:rsidR="00932C2C" w:rsidRPr="000C0894" w:rsidTr="00F6354E">
        <w:trPr>
          <w:trHeight w:val="1701"/>
        </w:trPr>
        <w:tc>
          <w:tcPr>
            <w:tcW w:w="542" w:type="pct"/>
            <w:vAlign w:val="center"/>
          </w:tcPr>
          <w:p w:rsidR="002158EA" w:rsidRPr="000C0894" w:rsidRDefault="00311C48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311C48"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7" w:type="pct"/>
            <w:vAlign w:val="center"/>
          </w:tcPr>
          <w:p w:rsidR="002158EA" w:rsidRPr="000C0894" w:rsidRDefault="00311C48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311C48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2158EA" w:rsidRPr="000C0894" w:rsidRDefault="00311C48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Cláusula 20.1.2</w:t>
            </w:r>
          </w:p>
        </w:tc>
        <w:tc>
          <w:tcPr>
            <w:tcW w:w="1746" w:type="pct"/>
            <w:vAlign w:val="center"/>
          </w:tcPr>
          <w:p w:rsidR="002158EA" w:rsidRPr="000C0894" w:rsidRDefault="00311C48" w:rsidP="00311C48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311C48">
              <w:rPr>
                <w:rFonts w:cs="Arial"/>
                <w:color w:val="000000" w:themeColor="text1"/>
                <w:szCs w:val="24"/>
              </w:rPr>
              <w:t>Na Fase de Exploração para Blocos em Mar, com lâmina d’água acima de 100 metros: Conteúdo Local global de 18%</w:t>
            </w:r>
            <w:r>
              <w:rPr>
                <w:rFonts w:cs="Arial"/>
                <w:color w:val="000000" w:themeColor="text1"/>
                <w:szCs w:val="24"/>
              </w:rPr>
              <w:t>, sendo metade em bens e metade em serviços</w:t>
            </w:r>
            <w:proofErr w:type="gramStart"/>
            <w:r>
              <w:rPr>
                <w:rFonts w:cs="Arial"/>
                <w:color w:val="000000" w:themeColor="text1"/>
                <w:szCs w:val="24"/>
              </w:rPr>
              <w:t>.</w:t>
            </w:r>
            <w:r w:rsidRPr="00311C48">
              <w:rPr>
                <w:rFonts w:cs="Arial"/>
                <w:color w:val="000000" w:themeColor="text1"/>
                <w:szCs w:val="24"/>
              </w:rPr>
              <w:t>.</w:t>
            </w:r>
            <w:proofErr w:type="gramEnd"/>
          </w:p>
        </w:tc>
        <w:tc>
          <w:tcPr>
            <w:tcW w:w="1638" w:type="pct"/>
            <w:vAlign w:val="center"/>
          </w:tcPr>
          <w:p w:rsidR="002158EA" w:rsidRPr="000C0894" w:rsidRDefault="007D5609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7D5609">
              <w:rPr>
                <w:rFonts w:cs="Arial"/>
                <w:color w:val="000000" w:themeColor="text1"/>
                <w:szCs w:val="24"/>
              </w:rPr>
              <w:t>A medição pelo conteúdo local global sem a separação em bens e serviços excluirá totalmente o fornecimento de bens industriais, pois somente serviços garantem o percentual estabelecido.</w:t>
            </w:r>
          </w:p>
        </w:tc>
      </w:tr>
      <w:tr w:rsidR="00311C48" w:rsidRPr="000C0894" w:rsidTr="00F6354E">
        <w:trPr>
          <w:trHeight w:val="1701"/>
        </w:trPr>
        <w:tc>
          <w:tcPr>
            <w:tcW w:w="542" w:type="pct"/>
            <w:vAlign w:val="center"/>
          </w:tcPr>
          <w:p w:rsidR="00311C48" w:rsidRDefault="00311C48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311C48"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7" w:type="pct"/>
            <w:vAlign w:val="center"/>
          </w:tcPr>
          <w:p w:rsidR="00311C48" w:rsidRPr="000C0894" w:rsidRDefault="00311C48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311C48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311C48" w:rsidRDefault="00311C48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Cláusula 20.1.3</w:t>
            </w:r>
          </w:p>
        </w:tc>
        <w:tc>
          <w:tcPr>
            <w:tcW w:w="1746" w:type="pct"/>
            <w:vAlign w:val="center"/>
          </w:tcPr>
          <w:p w:rsidR="00311C48" w:rsidRPr="000C0894" w:rsidRDefault="00311C48" w:rsidP="00311C48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311C48">
              <w:rPr>
                <w:rFonts w:cs="Arial"/>
                <w:color w:val="000000" w:themeColor="text1"/>
                <w:szCs w:val="24"/>
              </w:rPr>
              <w:t>Na Etapa de Desenvolvimento, ou para cada módulo de Desenvolvimento, no caso de desenvolviment</w:t>
            </w:r>
            <w:r>
              <w:rPr>
                <w:rFonts w:cs="Arial"/>
                <w:color w:val="000000" w:themeColor="text1"/>
                <w:szCs w:val="24"/>
              </w:rPr>
              <w:t>o modular, de Campos em Terra: Conteúdo Local global de 50%, sendo metade em bens e metade em serviços.</w:t>
            </w:r>
          </w:p>
        </w:tc>
        <w:tc>
          <w:tcPr>
            <w:tcW w:w="1638" w:type="pct"/>
            <w:vAlign w:val="center"/>
          </w:tcPr>
          <w:p w:rsidR="00311C48" w:rsidRPr="000C0894" w:rsidRDefault="007D5609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7D5609">
              <w:rPr>
                <w:rFonts w:cs="Arial"/>
                <w:color w:val="000000" w:themeColor="text1"/>
                <w:szCs w:val="24"/>
              </w:rPr>
              <w:t>A medição pelo conteúdo local global sem a separação em bens e serviços excluirá totalmente o fornecimento de bens industriais, pois somente serviços garantem o percentual estabelecido.</w:t>
            </w:r>
          </w:p>
        </w:tc>
      </w:tr>
      <w:tr w:rsidR="00311C48" w:rsidRPr="000C0894" w:rsidTr="000532B8">
        <w:trPr>
          <w:trHeight w:val="1101"/>
        </w:trPr>
        <w:tc>
          <w:tcPr>
            <w:tcW w:w="542" w:type="pct"/>
            <w:vAlign w:val="center"/>
          </w:tcPr>
          <w:p w:rsidR="00311C48" w:rsidRDefault="00311C48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311C48">
              <w:rPr>
                <w:rFonts w:cs="Arial"/>
                <w:color w:val="000000" w:themeColor="text1"/>
                <w:szCs w:val="24"/>
              </w:rPr>
              <w:lastRenderedPageBreak/>
              <w:t>Minuta do contrato</w:t>
            </w:r>
          </w:p>
        </w:tc>
        <w:tc>
          <w:tcPr>
            <w:tcW w:w="537" w:type="pct"/>
            <w:vAlign w:val="center"/>
          </w:tcPr>
          <w:p w:rsidR="00311C48" w:rsidRPr="000C0894" w:rsidRDefault="00311C48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311C48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311C48" w:rsidRDefault="00311C48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Cláusula 20.1.4.b</w:t>
            </w:r>
          </w:p>
        </w:tc>
        <w:tc>
          <w:tcPr>
            <w:tcW w:w="1746" w:type="pct"/>
            <w:vAlign w:val="center"/>
          </w:tcPr>
          <w:p w:rsidR="00311C48" w:rsidRPr="000C0894" w:rsidRDefault="00311C48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311C48">
              <w:rPr>
                <w:rFonts w:cs="Arial"/>
                <w:color w:val="000000" w:themeColor="text1"/>
                <w:szCs w:val="24"/>
              </w:rPr>
              <w:t>Sistema de Colet</w:t>
            </w:r>
            <w:r>
              <w:rPr>
                <w:rFonts w:cs="Arial"/>
                <w:color w:val="000000" w:themeColor="text1"/>
                <w:szCs w:val="24"/>
              </w:rPr>
              <w:t>a e Escoamento da Produção: 40%, sendo metade em bens e metade em serviços.</w:t>
            </w:r>
          </w:p>
        </w:tc>
        <w:tc>
          <w:tcPr>
            <w:tcW w:w="1638" w:type="pct"/>
            <w:vAlign w:val="center"/>
          </w:tcPr>
          <w:p w:rsidR="00311C48" w:rsidRPr="000C0894" w:rsidRDefault="007D5609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7D5609">
              <w:rPr>
                <w:rFonts w:cs="Arial"/>
                <w:color w:val="000000" w:themeColor="text1"/>
                <w:szCs w:val="24"/>
              </w:rPr>
              <w:t>A medição pelo conteúdo local global sem a separação em bens e serviços excluirá totalmente o fornecimento de bens industriais, pois somente serviços garantem o percentual estabelecido.</w:t>
            </w:r>
          </w:p>
        </w:tc>
      </w:tr>
      <w:tr w:rsidR="000532B8" w:rsidRPr="000C0894" w:rsidTr="000532B8">
        <w:trPr>
          <w:trHeight w:val="956"/>
        </w:trPr>
        <w:tc>
          <w:tcPr>
            <w:tcW w:w="542" w:type="pct"/>
          </w:tcPr>
          <w:p w:rsidR="000532B8" w:rsidRPr="000532B8" w:rsidRDefault="000532B8" w:rsidP="0081257E">
            <w:pPr>
              <w:rPr>
                <w:rFonts w:ascii="Arial" w:hAnsi="Arial" w:cs="Arial"/>
                <w:sz w:val="24"/>
                <w:szCs w:val="24"/>
              </w:rPr>
            </w:pPr>
            <w:r w:rsidRPr="000532B8">
              <w:rPr>
                <w:rFonts w:ascii="Arial" w:hAnsi="Arial" w:cs="Arial"/>
                <w:sz w:val="24"/>
                <w:szCs w:val="24"/>
              </w:rPr>
              <w:t>Minuta do contrato</w:t>
            </w:r>
          </w:p>
        </w:tc>
        <w:tc>
          <w:tcPr>
            <w:tcW w:w="537" w:type="pct"/>
          </w:tcPr>
          <w:p w:rsidR="000532B8" w:rsidRPr="000532B8" w:rsidRDefault="000532B8" w:rsidP="0081257E">
            <w:pPr>
              <w:rPr>
                <w:rFonts w:ascii="Arial" w:hAnsi="Arial" w:cs="Arial"/>
                <w:sz w:val="24"/>
                <w:szCs w:val="24"/>
              </w:rPr>
            </w:pPr>
            <w:r w:rsidRPr="000532B8">
              <w:rPr>
                <w:rFonts w:ascii="Arial" w:hAnsi="Arial" w:cs="Arial"/>
                <w:sz w:val="24"/>
                <w:szCs w:val="24"/>
              </w:rPr>
              <w:t>Alteração</w:t>
            </w:r>
          </w:p>
        </w:tc>
        <w:tc>
          <w:tcPr>
            <w:tcW w:w="537" w:type="pct"/>
          </w:tcPr>
          <w:p w:rsidR="000532B8" w:rsidRPr="000532B8" w:rsidRDefault="000532B8" w:rsidP="0081257E">
            <w:pPr>
              <w:rPr>
                <w:rFonts w:ascii="Arial" w:hAnsi="Arial" w:cs="Arial"/>
                <w:sz w:val="24"/>
                <w:szCs w:val="24"/>
              </w:rPr>
            </w:pPr>
            <w:r w:rsidRPr="000532B8">
              <w:rPr>
                <w:rFonts w:ascii="Arial" w:hAnsi="Arial" w:cs="Arial"/>
                <w:sz w:val="24"/>
                <w:szCs w:val="24"/>
              </w:rPr>
              <w:t>Cláusula 20.1.4.c</w:t>
            </w:r>
          </w:p>
        </w:tc>
        <w:tc>
          <w:tcPr>
            <w:tcW w:w="1746" w:type="pct"/>
          </w:tcPr>
          <w:p w:rsidR="000532B8" w:rsidRPr="007D5609" w:rsidRDefault="000532B8" w:rsidP="0081257E">
            <w:pPr>
              <w:rPr>
                <w:rFonts w:ascii="Arial" w:hAnsi="Arial" w:cs="Arial"/>
                <w:sz w:val="24"/>
                <w:szCs w:val="24"/>
              </w:rPr>
            </w:pPr>
            <w:r w:rsidRPr="007D5609">
              <w:rPr>
                <w:rFonts w:ascii="Arial" w:hAnsi="Arial" w:cs="Arial"/>
                <w:sz w:val="24"/>
                <w:szCs w:val="24"/>
              </w:rPr>
              <w:t>Unidade Estacionária de Produção: 25%, sendo metade em bens e metade em serviços.</w:t>
            </w:r>
          </w:p>
        </w:tc>
        <w:tc>
          <w:tcPr>
            <w:tcW w:w="1638" w:type="pct"/>
          </w:tcPr>
          <w:p w:rsidR="000532B8" w:rsidRPr="007D5609" w:rsidRDefault="007D5609" w:rsidP="0081257E">
            <w:pPr>
              <w:rPr>
                <w:rFonts w:ascii="Arial" w:hAnsi="Arial" w:cs="Arial"/>
                <w:sz w:val="24"/>
                <w:szCs w:val="24"/>
              </w:rPr>
            </w:pPr>
            <w:r w:rsidRPr="007D5609">
              <w:rPr>
                <w:rFonts w:ascii="Arial" w:hAnsi="Arial" w:cs="Arial"/>
                <w:sz w:val="24"/>
                <w:szCs w:val="24"/>
              </w:rPr>
              <w:t>A medição pelo conteúdo local global sem a separação em bens e serviços excluirá totalmente o fornecimento de bens industriais, pois somente serviços garantem o percentual estabelecido.</w:t>
            </w:r>
          </w:p>
        </w:tc>
      </w:tr>
      <w:tr w:rsidR="000532B8" w:rsidRPr="000C0894" w:rsidTr="00F6354E">
        <w:trPr>
          <w:trHeight w:val="1701"/>
        </w:trPr>
        <w:tc>
          <w:tcPr>
            <w:tcW w:w="542" w:type="pct"/>
            <w:vAlign w:val="center"/>
          </w:tcPr>
          <w:p w:rsidR="000532B8" w:rsidRPr="00311C48" w:rsidRDefault="000532B8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532B8"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7" w:type="pct"/>
            <w:vAlign w:val="center"/>
          </w:tcPr>
          <w:p w:rsidR="000532B8" w:rsidRPr="00311C48" w:rsidRDefault="000532B8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0532B8" w:rsidRDefault="000532B8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Cláusula 20.2</w:t>
            </w:r>
          </w:p>
        </w:tc>
        <w:tc>
          <w:tcPr>
            <w:tcW w:w="1746" w:type="pct"/>
            <w:vAlign w:val="center"/>
          </w:tcPr>
          <w:p w:rsidR="000532B8" w:rsidRPr="00311C48" w:rsidRDefault="000532B8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532B8">
              <w:rPr>
                <w:rFonts w:cs="Arial"/>
                <w:color w:val="000000" w:themeColor="text1"/>
                <w:szCs w:val="24"/>
              </w:rPr>
              <w:t>O Concessionário deverá assegurar preferência à contratação de Fornecedores Brasileiros, sempre que suas ofertas apresentem condições de preço, prazo e qualidade equivalentes às de fornecedores não brasileiros, considerados todos os custos de aquisição dos importados.</w:t>
            </w:r>
          </w:p>
        </w:tc>
        <w:tc>
          <w:tcPr>
            <w:tcW w:w="1638" w:type="pct"/>
            <w:vAlign w:val="center"/>
          </w:tcPr>
          <w:p w:rsidR="000532B8" w:rsidRPr="000C0894" w:rsidRDefault="000532B8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532B8">
              <w:rPr>
                <w:rFonts w:cs="Arial"/>
                <w:color w:val="000000" w:themeColor="text1"/>
                <w:szCs w:val="24"/>
              </w:rPr>
              <w:t xml:space="preserve">Há necessidade de identificar todos os custos de aquisição dos importados posto que em geral não </w:t>
            </w:r>
            <w:proofErr w:type="gramStart"/>
            <w:r w:rsidRPr="000532B8">
              <w:rPr>
                <w:rFonts w:cs="Arial"/>
                <w:color w:val="000000" w:themeColor="text1"/>
                <w:szCs w:val="24"/>
              </w:rPr>
              <w:t>são</w:t>
            </w:r>
            <w:proofErr w:type="gramEnd"/>
            <w:r w:rsidRPr="000532B8">
              <w:rPr>
                <w:rFonts w:cs="Arial"/>
                <w:color w:val="000000" w:themeColor="text1"/>
                <w:szCs w:val="24"/>
              </w:rPr>
              <w:t xml:space="preserve"> considerados os </w:t>
            </w:r>
            <w:r w:rsidR="00E86BE7">
              <w:rPr>
                <w:rFonts w:cs="Arial"/>
                <w:color w:val="000000" w:themeColor="text1"/>
                <w:szCs w:val="24"/>
              </w:rPr>
              <w:t xml:space="preserve">de desembaraço e armazenamento aduaneiros, </w:t>
            </w:r>
            <w:r w:rsidRPr="000532B8">
              <w:rPr>
                <w:rFonts w:cs="Arial"/>
                <w:color w:val="000000" w:themeColor="text1"/>
                <w:szCs w:val="24"/>
              </w:rPr>
              <w:t>da assistência técnica durante a vida útil do equipamento, com pronto atendimento local, o tempo de reposição de peças e sobressalentes, as exigências de certificação de bens nacionais pelo Inmetro, para que a avaliação seja isonômica.</w:t>
            </w:r>
          </w:p>
        </w:tc>
      </w:tr>
      <w:tr w:rsidR="000532B8" w:rsidRPr="000C0894" w:rsidTr="00F6354E">
        <w:trPr>
          <w:trHeight w:val="1701"/>
        </w:trPr>
        <w:tc>
          <w:tcPr>
            <w:tcW w:w="542" w:type="pct"/>
            <w:vAlign w:val="center"/>
          </w:tcPr>
          <w:p w:rsidR="000532B8" w:rsidRPr="000532B8" w:rsidRDefault="00BD60F5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Minuta do contrato</w:t>
            </w:r>
          </w:p>
        </w:tc>
        <w:tc>
          <w:tcPr>
            <w:tcW w:w="537" w:type="pct"/>
            <w:vAlign w:val="center"/>
          </w:tcPr>
          <w:p w:rsidR="000532B8" w:rsidRDefault="00BD60F5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0532B8" w:rsidRDefault="007D5609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Cláusula 24.2</w:t>
            </w:r>
          </w:p>
        </w:tc>
        <w:tc>
          <w:tcPr>
            <w:tcW w:w="1746" w:type="pct"/>
            <w:vAlign w:val="center"/>
          </w:tcPr>
          <w:p w:rsidR="000532B8" w:rsidRPr="000532B8" w:rsidRDefault="007D5609" w:rsidP="00BD60F5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7D5609">
              <w:rPr>
                <w:rFonts w:cs="Arial"/>
                <w:color w:val="000000" w:themeColor="text1"/>
                <w:szCs w:val="24"/>
              </w:rPr>
              <w:t>De 30% (trinta por cento) até 40% (quarenta por cento) dos recursos previstos no parágrafo 24.1 deverão ser investidos em universidades</w:t>
            </w:r>
            <w:r w:rsidR="00BD60F5">
              <w:rPr>
                <w:rFonts w:cs="Arial"/>
                <w:color w:val="000000" w:themeColor="text1"/>
                <w:szCs w:val="24"/>
              </w:rPr>
              <w:t>,</w:t>
            </w:r>
            <w:r w:rsidRPr="007D5609">
              <w:rPr>
                <w:rFonts w:cs="Arial"/>
                <w:color w:val="000000" w:themeColor="text1"/>
                <w:szCs w:val="24"/>
              </w:rPr>
              <w:t xml:space="preserve"> institutos de pesquisa e desenvo</w:t>
            </w:r>
            <w:r w:rsidR="00BD60F5">
              <w:rPr>
                <w:rFonts w:cs="Arial"/>
                <w:color w:val="000000" w:themeColor="text1"/>
                <w:szCs w:val="24"/>
              </w:rPr>
              <w:t>lvimento nacionais ou e</w:t>
            </w:r>
            <w:r w:rsidR="00BD60F5" w:rsidRPr="00BD60F5">
              <w:rPr>
                <w:rFonts w:cs="Arial"/>
                <w:color w:val="000000" w:themeColor="text1"/>
                <w:szCs w:val="24"/>
              </w:rPr>
              <w:t xml:space="preserve">m programas tecnológicos </w:t>
            </w:r>
            <w:r w:rsidR="00BD60F5">
              <w:rPr>
                <w:rFonts w:cs="Arial"/>
                <w:color w:val="000000" w:themeColor="text1"/>
                <w:szCs w:val="24"/>
              </w:rPr>
              <w:t xml:space="preserve">credenciados </w:t>
            </w:r>
            <w:r w:rsidRPr="007D5609">
              <w:rPr>
                <w:rFonts w:cs="Arial"/>
                <w:color w:val="000000" w:themeColor="text1"/>
                <w:szCs w:val="24"/>
              </w:rPr>
              <w:t>pela ANP.</w:t>
            </w:r>
          </w:p>
        </w:tc>
        <w:tc>
          <w:tcPr>
            <w:tcW w:w="1638" w:type="pct"/>
            <w:vAlign w:val="center"/>
          </w:tcPr>
          <w:p w:rsidR="000532B8" w:rsidRPr="000532B8" w:rsidRDefault="00BD60F5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Os programas tecnológicos antes elencados na cláusula 24.3, em geral são desenvolvidos pelas universidades e </w:t>
            </w:r>
            <w:proofErr w:type="spellStart"/>
            <w:r>
              <w:rPr>
                <w:rFonts w:cs="Arial"/>
                <w:color w:val="000000" w:themeColor="text1"/>
                <w:szCs w:val="24"/>
              </w:rPr>
              <w:t>ICTs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>. Caso permaneçam em cláusula separada haveria redundância na destinação e limitada amplitude de aplicação dos recursos de P&amp;D&amp;I, também essenciais à cadeia produtiva.</w:t>
            </w:r>
          </w:p>
        </w:tc>
      </w:tr>
      <w:tr w:rsidR="00BD60F5" w:rsidRPr="000C0894" w:rsidTr="00F6354E">
        <w:trPr>
          <w:trHeight w:val="1701"/>
        </w:trPr>
        <w:tc>
          <w:tcPr>
            <w:tcW w:w="542" w:type="pct"/>
            <w:vAlign w:val="center"/>
          </w:tcPr>
          <w:p w:rsidR="00BD60F5" w:rsidRPr="000532B8" w:rsidRDefault="00BD60F5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7" w:type="pct"/>
            <w:vAlign w:val="center"/>
          </w:tcPr>
          <w:p w:rsidR="00BD60F5" w:rsidRDefault="00BD60F5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BD60F5" w:rsidRDefault="00BD60F5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Cláusula 24.3</w:t>
            </w:r>
          </w:p>
        </w:tc>
        <w:tc>
          <w:tcPr>
            <w:tcW w:w="1746" w:type="pct"/>
            <w:vAlign w:val="center"/>
          </w:tcPr>
          <w:p w:rsidR="00BD60F5" w:rsidRPr="007D5609" w:rsidRDefault="00BD60F5" w:rsidP="00BD60F5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BD60F5">
              <w:rPr>
                <w:rFonts w:cs="Arial"/>
                <w:color w:val="000000" w:themeColor="text1"/>
                <w:szCs w:val="24"/>
              </w:rPr>
              <w:t xml:space="preserve">De 30% (trinta por cento) até 40% (quarenta por cento) dos recursos previstos no parágrafo 24.1 devem ser destinados a </w:t>
            </w:r>
            <w:r>
              <w:rPr>
                <w:rFonts w:cs="Arial"/>
                <w:color w:val="000000" w:themeColor="text1"/>
                <w:szCs w:val="24"/>
              </w:rPr>
              <w:t>empresas fornecedoras nacionais par</w:t>
            </w:r>
            <w:r w:rsidRPr="00BD60F5">
              <w:rPr>
                <w:rFonts w:cs="Arial"/>
                <w:color w:val="000000" w:themeColor="text1"/>
                <w:szCs w:val="24"/>
              </w:rPr>
              <w:t xml:space="preserve">a </w:t>
            </w:r>
            <w:r>
              <w:rPr>
                <w:rFonts w:cs="Arial"/>
                <w:color w:val="000000" w:themeColor="text1"/>
                <w:szCs w:val="24"/>
              </w:rPr>
              <w:t xml:space="preserve">seus melhores </w:t>
            </w:r>
            <w:r w:rsidRPr="00BD60F5">
              <w:rPr>
                <w:rFonts w:cs="Arial"/>
                <w:color w:val="000000" w:themeColor="text1"/>
                <w:szCs w:val="24"/>
              </w:rPr>
              <w:t>desenvolvimento e capac</w:t>
            </w:r>
            <w:r>
              <w:rPr>
                <w:rFonts w:cs="Arial"/>
                <w:color w:val="000000" w:themeColor="text1"/>
                <w:szCs w:val="24"/>
              </w:rPr>
              <w:t>itação</w:t>
            </w:r>
            <w:r w:rsidRPr="00BD60F5">
              <w:rPr>
                <w:rFonts w:cs="Arial"/>
                <w:color w:val="000000" w:themeColor="text1"/>
                <w:szCs w:val="24"/>
              </w:rPr>
              <w:t>.</w:t>
            </w:r>
          </w:p>
        </w:tc>
        <w:tc>
          <w:tcPr>
            <w:tcW w:w="1638" w:type="pct"/>
            <w:vAlign w:val="center"/>
          </w:tcPr>
          <w:p w:rsidR="00BD60F5" w:rsidRDefault="00BD60F5" w:rsidP="00BD60F5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As cláusulas 24.2 e 24.4 já destinam a maior parte dos recursos às universidades, </w:t>
            </w:r>
            <w:proofErr w:type="spellStart"/>
            <w:r>
              <w:rPr>
                <w:rFonts w:cs="Arial"/>
                <w:color w:val="000000" w:themeColor="text1"/>
                <w:szCs w:val="24"/>
              </w:rPr>
              <w:t>ICTs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 xml:space="preserve"> e às próprias operadoras, sendo necessário disponibilizar recursos à cadeia de fornecedores nacionais para aprimorar sua capacidade produtiva. </w:t>
            </w:r>
          </w:p>
        </w:tc>
      </w:tr>
    </w:tbl>
    <w:p w:rsidR="006E3142" w:rsidRDefault="006E3142" w:rsidP="00FB37ED">
      <w:pPr>
        <w:pStyle w:val="Legenda"/>
        <w:jc w:val="both"/>
        <w:rPr>
          <w:rFonts w:cs="Arial"/>
          <w:b/>
          <w:szCs w:val="24"/>
        </w:rPr>
      </w:pPr>
      <w:bookmarkStart w:id="0" w:name="_GoBack"/>
      <w:bookmarkEnd w:id="0"/>
    </w:p>
    <w:sectPr w:rsidR="006E3142" w:rsidSect="00FB378C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8D4" w:rsidRDefault="008168D4" w:rsidP="00842086">
      <w:r>
        <w:separator/>
      </w:r>
    </w:p>
  </w:endnote>
  <w:endnote w:type="continuationSeparator" w:id="0">
    <w:p w:rsidR="008168D4" w:rsidRDefault="008168D4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37ED">
      <w:rPr>
        <w:noProof/>
      </w:rPr>
      <w:t>3</w:t>
    </w:r>
    <w:r>
      <w:fldChar w:fldCharType="end"/>
    </w:r>
  </w:p>
  <w:p w:rsidR="005C4925" w:rsidRDefault="005C492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37ED">
      <w:rPr>
        <w:noProof/>
      </w:rPr>
      <w:t>1</w:t>
    </w:r>
    <w:r>
      <w:fldChar w:fldCharType="end"/>
    </w:r>
  </w:p>
  <w:p w:rsidR="005C4925" w:rsidRDefault="005C492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8D4" w:rsidRDefault="008168D4" w:rsidP="00842086">
      <w:r>
        <w:separator/>
      </w:r>
    </w:p>
  </w:footnote>
  <w:footnote w:type="continuationSeparator" w:id="0">
    <w:p w:rsidR="008168D4" w:rsidRDefault="008168D4" w:rsidP="00842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25" w:rsidRDefault="005C4925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8189"/>
      <w:gridCol w:w="6098"/>
    </w:tblGrid>
    <w:tr w:rsidR="003967EB" w:rsidRPr="00B27481" w:rsidTr="003967EB">
      <w:tc>
        <w:tcPr>
          <w:tcW w:w="2866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36380F" w:rsidRDefault="00A51516" w:rsidP="003967EB">
          <w:pPr>
            <w:pStyle w:val="Cabealho"/>
            <w:spacing w:before="240" w:after="240"/>
            <w:rPr>
              <w:rFonts w:ascii="Arial" w:hAnsi="Arial" w:cs="Arial"/>
              <w:sz w:val="24"/>
              <w:szCs w:val="24"/>
            </w:rPr>
          </w:pPr>
          <w:r w:rsidRPr="00A51516">
            <w:rPr>
              <w:rFonts w:ascii="Arial" w:hAnsi="Arial" w:cs="Arial"/>
              <w:noProof/>
              <w:sz w:val="24"/>
              <w:szCs w:val="24"/>
              <w:lang w:eastAsia="zh-CN"/>
            </w:rPr>
            <w:drawing>
              <wp:inline distT="0" distB="0" distL="0" distR="0" wp14:anchorId="241344EE" wp14:editId="1248153D">
                <wp:extent cx="2242185" cy="914400"/>
                <wp:effectExtent l="0" t="0" r="0" b="0"/>
                <wp:docPr id="3" name="Imagem 0" descr="testei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testei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C0815" w:rsidRPr="000C0815">
            <w:rPr>
              <w:rFonts w:ascii="Arial" w:hAnsi="Arial" w:cs="Arial"/>
              <w:noProof/>
              <w:sz w:val="24"/>
              <w:szCs w:val="24"/>
              <w:lang w:eastAsia="zh-CN"/>
            </w:rPr>
            <w:drawing>
              <wp:inline distT="0" distB="0" distL="0" distR="0" wp14:anchorId="7263702B" wp14:editId="6BD30580">
                <wp:extent cx="2410460" cy="1401445"/>
                <wp:effectExtent l="0" t="0" r="8890" b="8255"/>
                <wp:docPr id="1" name="Imagem 1" descr="L:\Rodadas de Licitações\Rodada 14\07. Padrão visual\LOGO_14a Rodada vertic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:\Rodadas de Licitações\Rodada 14\07. Padrão visual\LOGO_14a Rodada vertica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0460" cy="140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B27481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 xml:space="preserve">CONSULTA PÚBLICA Nº </w:t>
          </w:r>
          <w:r w:rsidR="00F34DFC">
            <w:rPr>
              <w:rFonts w:ascii="Arial" w:hAnsi="Arial" w:cs="Arial"/>
              <w:b/>
              <w:sz w:val="28"/>
              <w:szCs w:val="28"/>
            </w:rPr>
            <w:t>09</w:t>
          </w:r>
          <w:r w:rsidRPr="00B27481">
            <w:rPr>
              <w:rFonts w:ascii="Arial" w:hAnsi="Arial" w:cs="Arial"/>
              <w:b/>
              <w:sz w:val="28"/>
              <w:szCs w:val="28"/>
            </w:rPr>
            <w:t>/201</w:t>
          </w:r>
          <w:r w:rsidR="002A1E27">
            <w:rPr>
              <w:rFonts w:ascii="Arial" w:hAnsi="Arial" w:cs="Arial"/>
              <w:b/>
              <w:sz w:val="28"/>
              <w:szCs w:val="28"/>
            </w:rPr>
            <w:t>7</w:t>
          </w:r>
        </w:p>
        <w:p w:rsidR="003967EB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  <w:p w:rsidR="00E86BE7" w:rsidRPr="00B27481" w:rsidRDefault="00E86BE7" w:rsidP="00B27481">
          <w:pPr>
            <w:pStyle w:val="Cabealho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ABINEE – ASSOCIAÇÃO BRASLEIRA DA INDÚSTRIA ELÉTRICA E ELETRÔNICA</w:t>
          </w:r>
        </w:p>
      </w:tc>
    </w:tr>
  </w:tbl>
  <w:p w:rsidR="005C4925" w:rsidRDefault="005C49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086"/>
    <w:rsid w:val="00006A74"/>
    <w:rsid w:val="000532B8"/>
    <w:rsid w:val="000C0815"/>
    <w:rsid w:val="000C0894"/>
    <w:rsid w:val="000C7F3F"/>
    <w:rsid w:val="000E6393"/>
    <w:rsid w:val="00103946"/>
    <w:rsid w:val="00193747"/>
    <w:rsid w:val="001965B6"/>
    <w:rsid w:val="001B0976"/>
    <w:rsid w:val="002158EA"/>
    <w:rsid w:val="0022423B"/>
    <w:rsid w:val="00225575"/>
    <w:rsid w:val="00256685"/>
    <w:rsid w:val="00264138"/>
    <w:rsid w:val="002A1E27"/>
    <w:rsid w:val="00300B92"/>
    <w:rsid w:val="00311C48"/>
    <w:rsid w:val="00314BDB"/>
    <w:rsid w:val="00327F69"/>
    <w:rsid w:val="0036380F"/>
    <w:rsid w:val="003967EB"/>
    <w:rsid w:val="003B7B4E"/>
    <w:rsid w:val="003D5BFF"/>
    <w:rsid w:val="003D6CBE"/>
    <w:rsid w:val="0040140A"/>
    <w:rsid w:val="00412AA7"/>
    <w:rsid w:val="00471ADB"/>
    <w:rsid w:val="004A005A"/>
    <w:rsid w:val="004B7788"/>
    <w:rsid w:val="004C0021"/>
    <w:rsid w:val="004D421E"/>
    <w:rsid w:val="004F050F"/>
    <w:rsid w:val="005257A3"/>
    <w:rsid w:val="005600AD"/>
    <w:rsid w:val="0056683F"/>
    <w:rsid w:val="005B3CEF"/>
    <w:rsid w:val="005B7D75"/>
    <w:rsid w:val="005C4925"/>
    <w:rsid w:val="005C5B4E"/>
    <w:rsid w:val="005D7856"/>
    <w:rsid w:val="00605710"/>
    <w:rsid w:val="00615A71"/>
    <w:rsid w:val="0062557C"/>
    <w:rsid w:val="00675939"/>
    <w:rsid w:val="006E3142"/>
    <w:rsid w:val="006E7756"/>
    <w:rsid w:val="006F3664"/>
    <w:rsid w:val="007178AA"/>
    <w:rsid w:val="0072285E"/>
    <w:rsid w:val="00723CA3"/>
    <w:rsid w:val="00764EB1"/>
    <w:rsid w:val="007662D7"/>
    <w:rsid w:val="007D5609"/>
    <w:rsid w:val="007E2560"/>
    <w:rsid w:val="007F7936"/>
    <w:rsid w:val="008168D4"/>
    <w:rsid w:val="0083277E"/>
    <w:rsid w:val="00842086"/>
    <w:rsid w:val="008500E0"/>
    <w:rsid w:val="00854EE5"/>
    <w:rsid w:val="008675C5"/>
    <w:rsid w:val="00883495"/>
    <w:rsid w:val="008A590E"/>
    <w:rsid w:val="008E7D7F"/>
    <w:rsid w:val="00913328"/>
    <w:rsid w:val="0092578B"/>
    <w:rsid w:val="009271A8"/>
    <w:rsid w:val="00932C2C"/>
    <w:rsid w:val="009403DB"/>
    <w:rsid w:val="0099566E"/>
    <w:rsid w:val="00A51516"/>
    <w:rsid w:val="00A621DA"/>
    <w:rsid w:val="00A91CC2"/>
    <w:rsid w:val="00AC3176"/>
    <w:rsid w:val="00AC75F7"/>
    <w:rsid w:val="00AC7BE3"/>
    <w:rsid w:val="00AE02B1"/>
    <w:rsid w:val="00B13EFD"/>
    <w:rsid w:val="00B25C8F"/>
    <w:rsid w:val="00B27481"/>
    <w:rsid w:val="00B40F4C"/>
    <w:rsid w:val="00B43186"/>
    <w:rsid w:val="00BA4C9C"/>
    <w:rsid w:val="00BC1BBC"/>
    <w:rsid w:val="00BD60F5"/>
    <w:rsid w:val="00BE0221"/>
    <w:rsid w:val="00C102D5"/>
    <w:rsid w:val="00C44A37"/>
    <w:rsid w:val="00C57F32"/>
    <w:rsid w:val="00C85228"/>
    <w:rsid w:val="00C855A3"/>
    <w:rsid w:val="00CA289A"/>
    <w:rsid w:val="00CF02E6"/>
    <w:rsid w:val="00CF2944"/>
    <w:rsid w:val="00E05AB8"/>
    <w:rsid w:val="00E16A4E"/>
    <w:rsid w:val="00E548B4"/>
    <w:rsid w:val="00E86BE7"/>
    <w:rsid w:val="00E91A45"/>
    <w:rsid w:val="00EA1DC4"/>
    <w:rsid w:val="00ED28BC"/>
    <w:rsid w:val="00EF4AFC"/>
    <w:rsid w:val="00F34DFC"/>
    <w:rsid w:val="00F503A5"/>
    <w:rsid w:val="00F63177"/>
    <w:rsid w:val="00F6354E"/>
    <w:rsid w:val="00F637D7"/>
    <w:rsid w:val="00FA7129"/>
    <w:rsid w:val="00FB378C"/>
    <w:rsid w:val="00FB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DD8F5-3869-42F6-8144-E8B598942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Paulo</cp:lastModifiedBy>
  <cp:revision>5</cp:revision>
  <cp:lastPrinted>2013-01-24T15:49:00Z</cp:lastPrinted>
  <dcterms:created xsi:type="dcterms:W3CDTF">2017-06-19T16:52:00Z</dcterms:created>
  <dcterms:modified xsi:type="dcterms:W3CDTF">2017-06-19T19:38:00Z</dcterms:modified>
</cp:coreProperties>
</file>